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1939F" w14:textId="77777777" w:rsidR="005A2C9B" w:rsidRDefault="005A2C9B">
      <w:pPr>
        <w:rPr>
          <w:b/>
          <w:sz w:val="28"/>
        </w:rPr>
      </w:pPr>
      <w:bookmarkStart w:id="0" w:name="_GoBack"/>
      <w:bookmarkEnd w:id="0"/>
    </w:p>
    <w:p w14:paraId="3D5193A0" w14:textId="77777777" w:rsidR="00E87DB1" w:rsidRPr="00C80B10" w:rsidRDefault="00E87DB1">
      <w:pPr>
        <w:rPr>
          <w:b/>
          <w:sz w:val="28"/>
        </w:rPr>
      </w:pPr>
      <w:r w:rsidRPr="00C80B10">
        <w:rPr>
          <w:b/>
          <w:sz w:val="28"/>
        </w:rPr>
        <w:t>Skärpt tillståndsplikt för anläggningar som hanterar brandfarlig vara</w:t>
      </w:r>
    </w:p>
    <w:p w14:paraId="3D5193A1" w14:textId="7BF0B056" w:rsidR="007B6C70" w:rsidRDefault="008334B5">
      <w:r>
        <w:t>Myndigheten för samhällsskydd och beredskap har utkommit med nya föreskrifter, MSBFS2013:3, i vilka tidigare undantag avseende tillståndsplikt</w:t>
      </w:r>
      <w:r w:rsidR="00E87DB1">
        <w:t xml:space="preserve"> </w:t>
      </w:r>
      <w:r>
        <w:t>för reningsverk, gårdsbiogasanläggningar och deponigasanläggningar är borttagna</w:t>
      </w:r>
      <w:r w:rsidR="00E87DB1">
        <w:t>. Dessa anläggningar</w:t>
      </w:r>
      <w:r w:rsidRPr="008334B5">
        <w:t xml:space="preserve"> </w:t>
      </w:r>
      <w:r w:rsidR="00E87DB1">
        <w:t>skall innan 1 oktober ansöka om tillstånd för verksamheten hos räddningsnämnden/räddningstjänsten i kommunen där verksamheten bedrivs om de</w:t>
      </w:r>
      <w:r>
        <w:t xml:space="preserve"> volymer brandfarlig vara som</w:t>
      </w:r>
      <w:r w:rsidR="00E87DB1">
        <w:t xml:space="preserve"> hanteras</w:t>
      </w:r>
      <w:r>
        <w:t xml:space="preserve"> överstige</w:t>
      </w:r>
      <w:r w:rsidR="00E87DB1">
        <w:t>r gränser angivna i MSBFS 2013:3.  För icke</w:t>
      </w:r>
      <w:r w:rsidR="004045BE">
        <w:t xml:space="preserve"> </w:t>
      </w:r>
      <w:r w:rsidR="00E87DB1">
        <w:t>publik hantering av brandfarlig gas utomhus är gränsen 1000 liter.</w:t>
      </w:r>
    </w:p>
    <w:p w14:paraId="3D5193A2" w14:textId="77777777" w:rsidR="00583D4C" w:rsidRPr="00E87DB1" w:rsidRDefault="00E87DB1">
      <w:pPr>
        <w:rPr>
          <w:b/>
          <w:sz w:val="24"/>
          <w:szCs w:val="24"/>
        </w:rPr>
      </w:pPr>
      <w:r w:rsidRPr="00E87DB1">
        <w:rPr>
          <w:b/>
          <w:sz w:val="24"/>
          <w:szCs w:val="24"/>
        </w:rPr>
        <w:t>Ansökan enligt lagen om brandfarliga och explosiva varor</w:t>
      </w:r>
      <w:r>
        <w:rPr>
          <w:b/>
          <w:sz w:val="24"/>
          <w:szCs w:val="24"/>
        </w:rPr>
        <w:t xml:space="preserve"> skall innehålla följande</w:t>
      </w:r>
      <w:r w:rsidR="00AD3C07">
        <w:rPr>
          <w:b/>
          <w:sz w:val="24"/>
        </w:rPr>
        <w:t>:</w:t>
      </w:r>
    </w:p>
    <w:p w14:paraId="3D5193A3" w14:textId="77777777" w:rsidR="00583D4C" w:rsidRPr="00583D4C" w:rsidRDefault="00583D4C" w:rsidP="00583D4C">
      <w:pPr>
        <w:pStyle w:val="Liststycke"/>
        <w:numPr>
          <w:ilvl w:val="0"/>
          <w:numId w:val="1"/>
        </w:numPr>
        <w:rPr>
          <w:sz w:val="20"/>
        </w:rPr>
      </w:pPr>
      <w:r w:rsidRPr="00583D4C">
        <w:t>Ansökan</w:t>
      </w:r>
      <w:r w:rsidRPr="00583D4C">
        <w:rPr>
          <w:sz w:val="20"/>
        </w:rPr>
        <w:t xml:space="preserve"> </w:t>
      </w:r>
      <w:r w:rsidRPr="00583D4C">
        <w:t xml:space="preserve">med underskrift av </w:t>
      </w:r>
      <w:r>
        <w:t xml:space="preserve">firmatecknare eller </w:t>
      </w:r>
      <w:proofErr w:type="gramStart"/>
      <w:r>
        <w:t>därav</w:t>
      </w:r>
      <w:proofErr w:type="gramEnd"/>
      <w:r>
        <w:t xml:space="preserve"> bemyndigad person. Blankett finns hos tillståndsmyndigheten som i de flesta kommuner är räddningstjänsten.</w:t>
      </w:r>
    </w:p>
    <w:p w14:paraId="3D5193A4" w14:textId="77777777" w:rsidR="00583D4C" w:rsidRPr="000156A7" w:rsidRDefault="00583D4C" w:rsidP="00583D4C">
      <w:pPr>
        <w:pStyle w:val="Liststycke"/>
        <w:numPr>
          <w:ilvl w:val="0"/>
          <w:numId w:val="1"/>
        </w:numPr>
        <w:rPr>
          <w:sz w:val="20"/>
        </w:rPr>
      </w:pPr>
      <w:r>
        <w:t>Karta eller situationsplan som visar anläggningsområdet. Kartan skall vara skalenlig så att avstånd kan utläsas. Situationsplanen skall visa byggnader, cisterner, ledningsdragning, parkeringsplatser, närbelägna industrier och körvägar.</w:t>
      </w:r>
    </w:p>
    <w:p w14:paraId="3D5193A5" w14:textId="77777777" w:rsidR="000156A7" w:rsidRPr="000156A7" w:rsidRDefault="000156A7" w:rsidP="00583D4C">
      <w:pPr>
        <w:pStyle w:val="Liststycke"/>
        <w:numPr>
          <w:ilvl w:val="0"/>
          <w:numId w:val="1"/>
        </w:numPr>
        <w:rPr>
          <w:sz w:val="20"/>
        </w:rPr>
      </w:pPr>
      <w:r>
        <w:t>Ritningar över byggnader där brandfarliga varor ska hanteras.</w:t>
      </w:r>
    </w:p>
    <w:p w14:paraId="3D5193A6" w14:textId="77777777" w:rsidR="000156A7" w:rsidRPr="000156A7" w:rsidRDefault="000156A7" w:rsidP="000156A7">
      <w:pPr>
        <w:pStyle w:val="Liststycke"/>
        <w:numPr>
          <w:ilvl w:val="1"/>
          <w:numId w:val="1"/>
        </w:numPr>
        <w:rPr>
          <w:sz w:val="20"/>
        </w:rPr>
      </w:pPr>
      <w:r>
        <w:t>Fasadritning</w:t>
      </w:r>
    </w:p>
    <w:p w14:paraId="3D5193A7" w14:textId="77777777" w:rsidR="000156A7" w:rsidRPr="000156A7" w:rsidRDefault="000156A7" w:rsidP="000156A7">
      <w:pPr>
        <w:pStyle w:val="Liststycke"/>
        <w:numPr>
          <w:ilvl w:val="1"/>
          <w:numId w:val="1"/>
        </w:numPr>
        <w:rPr>
          <w:sz w:val="20"/>
        </w:rPr>
      </w:pPr>
      <w:r>
        <w:t>Uppgift om byggnadens funktion</w:t>
      </w:r>
    </w:p>
    <w:p w14:paraId="3D5193A8" w14:textId="77777777" w:rsidR="000156A7" w:rsidRPr="000156A7" w:rsidRDefault="000156A7" w:rsidP="000156A7">
      <w:pPr>
        <w:pStyle w:val="Liststycke"/>
        <w:numPr>
          <w:ilvl w:val="1"/>
          <w:numId w:val="1"/>
        </w:numPr>
        <w:rPr>
          <w:sz w:val="20"/>
        </w:rPr>
      </w:pPr>
      <w:r>
        <w:t>Uppgift om utrymningsvägar, brandcellsindelning och brandteknisk klass</w:t>
      </w:r>
    </w:p>
    <w:p w14:paraId="3D5193A9" w14:textId="77777777" w:rsidR="000156A7" w:rsidRPr="00443E76" w:rsidRDefault="000156A7" w:rsidP="000156A7">
      <w:pPr>
        <w:pStyle w:val="Liststycke"/>
        <w:numPr>
          <w:ilvl w:val="1"/>
          <w:numId w:val="1"/>
        </w:numPr>
      </w:pPr>
      <w:r w:rsidRPr="00443E76">
        <w:t>Ventilationens utformning</w:t>
      </w:r>
    </w:p>
    <w:p w14:paraId="3D5193AA" w14:textId="77777777" w:rsidR="000156A7" w:rsidRPr="00443E76" w:rsidRDefault="000156A7" w:rsidP="000156A7">
      <w:pPr>
        <w:pStyle w:val="Liststycke"/>
        <w:numPr>
          <w:ilvl w:val="0"/>
          <w:numId w:val="1"/>
        </w:numPr>
      </w:pPr>
      <w:r w:rsidRPr="00443E76">
        <w:t>Process- och verksamhetsbeskrivning</w:t>
      </w:r>
    </w:p>
    <w:p w14:paraId="3D5193AB" w14:textId="77777777" w:rsidR="000156A7" w:rsidRPr="00443E76" w:rsidRDefault="000156A7" w:rsidP="000156A7">
      <w:pPr>
        <w:pStyle w:val="Liststycke"/>
        <w:numPr>
          <w:ilvl w:val="0"/>
          <w:numId w:val="1"/>
        </w:numPr>
      </w:pPr>
      <w:r w:rsidRPr="00443E76">
        <w:t>Sammanställning av de brandfarliga varornas namn, flampunkt och den volym som finns förvarad på anläggningen.</w:t>
      </w:r>
    </w:p>
    <w:p w14:paraId="3D5193AC" w14:textId="77777777" w:rsidR="000156A7" w:rsidRPr="00443E76" w:rsidRDefault="00897BCA" w:rsidP="000156A7">
      <w:pPr>
        <w:pStyle w:val="Liststycke"/>
        <w:numPr>
          <w:ilvl w:val="1"/>
          <w:numId w:val="1"/>
        </w:numPr>
      </w:pPr>
      <w:r w:rsidRPr="00443E76">
        <w:t>Eftersom anläggningen nu är tillståndspliktig</w:t>
      </w:r>
      <w:r w:rsidR="000156A7" w:rsidRPr="00443E76">
        <w:t xml:space="preserve"> till följd av hantering av rågas/biogas måste även andra brandfarliga varor som hanteras på anläggningen redovisas. Det kan exempelvis vara diesel/bensintank och acetylentuber. </w:t>
      </w:r>
    </w:p>
    <w:p w14:paraId="3D5193AD" w14:textId="5B8E125D" w:rsidR="00897BCA" w:rsidRPr="00443E76" w:rsidRDefault="00897BCA" w:rsidP="000156A7">
      <w:pPr>
        <w:pStyle w:val="Liststycke"/>
        <w:numPr>
          <w:ilvl w:val="1"/>
          <w:numId w:val="1"/>
        </w:numPr>
      </w:pPr>
      <w:r w:rsidRPr="00443E76">
        <w:t xml:space="preserve">Vissa undantag finns när det gäller redovisning av brandfarliga varor. Exempelvis är brandfarliga vätskor med flampunkt högre än 60 </w:t>
      </w:r>
      <w:r w:rsidR="00443E76">
        <w:t>˚</w:t>
      </w:r>
      <w:r w:rsidRPr="00443E76">
        <w:t>C (ex. diesel)</w:t>
      </w:r>
      <w:r w:rsidR="00525529">
        <w:t xml:space="preserve"> </w:t>
      </w:r>
      <w:r w:rsidRPr="00443E76">
        <w:t xml:space="preserve">som hanteras i lantbruksverksamhet undantagen tillståndsplikt. </w:t>
      </w:r>
    </w:p>
    <w:p w14:paraId="3D5193AE" w14:textId="746367C7" w:rsidR="000F61BA" w:rsidRPr="00443E76" w:rsidRDefault="000F61BA" w:rsidP="000F61BA">
      <w:pPr>
        <w:pStyle w:val="Liststycke"/>
        <w:numPr>
          <w:ilvl w:val="0"/>
          <w:numId w:val="1"/>
        </w:numPr>
      </w:pPr>
      <w:r w:rsidRPr="00443E76">
        <w:t>Riskutredning enligt §</w:t>
      </w:r>
      <w:r w:rsidR="00525529">
        <w:t xml:space="preserve"> </w:t>
      </w:r>
      <w:r w:rsidRPr="00443E76">
        <w:t>7 Lagen om brandfarliga och explosiva varor</w:t>
      </w:r>
    </w:p>
    <w:p w14:paraId="3D5193AF" w14:textId="77777777" w:rsidR="000F61BA" w:rsidRPr="00443E76" w:rsidRDefault="000F61BA" w:rsidP="000F61BA">
      <w:pPr>
        <w:pStyle w:val="Liststycke"/>
        <w:numPr>
          <w:ilvl w:val="0"/>
          <w:numId w:val="1"/>
        </w:numPr>
      </w:pPr>
      <w:r w:rsidRPr="00443E76">
        <w:t>Explosionsskyddsdokumentation</w:t>
      </w:r>
    </w:p>
    <w:p w14:paraId="3D5193B0" w14:textId="77777777" w:rsidR="008A5739" w:rsidRPr="00443E76" w:rsidRDefault="00AD3C07" w:rsidP="000F61BA">
      <w:pPr>
        <w:pStyle w:val="Liststycke"/>
        <w:numPr>
          <w:ilvl w:val="1"/>
          <w:numId w:val="1"/>
        </w:numPr>
      </w:pPr>
      <w:r w:rsidRPr="00443E76">
        <w:t>Klassningsplan</w:t>
      </w:r>
    </w:p>
    <w:p w14:paraId="3D5193B1" w14:textId="77777777" w:rsidR="008A5739" w:rsidRPr="00443E76" w:rsidRDefault="00AD3C07" w:rsidP="000F61BA">
      <w:pPr>
        <w:pStyle w:val="Liststycke"/>
        <w:numPr>
          <w:ilvl w:val="1"/>
          <w:numId w:val="1"/>
        </w:numPr>
      </w:pPr>
      <w:r w:rsidRPr="00443E76">
        <w:t>Instruktioner för arbete i explosionsfarlig miljö</w:t>
      </w:r>
    </w:p>
    <w:p w14:paraId="3D5193B2" w14:textId="77777777" w:rsidR="008A5739" w:rsidRPr="00443E76" w:rsidRDefault="00AD3C07" w:rsidP="000F61BA">
      <w:pPr>
        <w:pStyle w:val="Liststycke"/>
        <w:numPr>
          <w:ilvl w:val="1"/>
          <w:numId w:val="1"/>
        </w:numPr>
      </w:pPr>
      <w:r w:rsidRPr="00443E76">
        <w:t>Förteckning över riskkällor</w:t>
      </w:r>
    </w:p>
    <w:p w14:paraId="3D5193B3" w14:textId="77777777" w:rsidR="008A5739" w:rsidRPr="00443E76" w:rsidRDefault="00AD3C07" w:rsidP="000F61BA">
      <w:pPr>
        <w:pStyle w:val="Liststycke"/>
        <w:numPr>
          <w:ilvl w:val="1"/>
          <w:numId w:val="1"/>
        </w:numPr>
      </w:pPr>
      <w:r w:rsidRPr="00443E76">
        <w:t xml:space="preserve">Samordningsansvar på plats med flera verksamheter </w:t>
      </w:r>
    </w:p>
    <w:p w14:paraId="3D5193B4" w14:textId="77777777" w:rsidR="000F61BA" w:rsidRPr="00443E76" w:rsidRDefault="000F61BA" w:rsidP="000F61BA">
      <w:pPr>
        <w:pStyle w:val="Liststycke"/>
        <w:numPr>
          <w:ilvl w:val="0"/>
          <w:numId w:val="1"/>
        </w:numPr>
      </w:pPr>
      <w:r w:rsidRPr="00443E76">
        <w:t>Drift och underhållsinstruktioner för anläggningsdelar där brandfarlig vara hanteras.</w:t>
      </w:r>
    </w:p>
    <w:p w14:paraId="3D5193B5" w14:textId="77777777" w:rsidR="000156A7" w:rsidRPr="00443E76" w:rsidRDefault="000F61BA" w:rsidP="00443E76">
      <w:pPr>
        <w:pStyle w:val="Liststycke"/>
        <w:numPr>
          <w:ilvl w:val="0"/>
          <w:numId w:val="1"/>
        </w:numPr>
      </w:pPr>
      <w:r w:rsidRPr="00443E76">
        <w:t xml:space="preserve">Uppgift om föreståndare. </w:t>
      </w:r>
    </w:p>
    <w:p w14:paraId="5340E727" w14:textId="77777777" w:rsidR="004045BE" w:rsidRDefault="004045BE" w:rsidP="00E40AA7"/>
    <w:p w14:paraId="18D3511B" w14:textId="77777777" w:rsidR="009F5E6A" w:rsidRDefault="009F5E6A" w:rsidP="00E40AA7"/>
    <w:p w14:paraId="3D5193B6" w14:textId="53C7A647" w:rsidR="00E40AA7" w:rsidRDefault="00897BCA" w:rsidP="00E40AA7">
      <w:r>
        <w:t>Om anläggningen</w:t>
      </w:r>
      <w:r w:rsidR="00E40AA7">
        <w:t xml:space="preserve"> redan har</w:t>
      </w:r>
      <w:r w:rsidR="00C80B10">
        <w:t xml:space="preserve"> tillstånd enligt lagen om brandfarliga och explosiva varor</w:t>
      </w:r>
      <w:r>
        <w:t xml:space="preserve"> skall </w:t>
      </w:r>
      <w:r w:rsidR="00E40AA7">
        <w:t>nu gällande tillstånd bifogas ansökan. Exempelvis skall reningsverk som använder metanol eller et</w:t>
      </w:r>
      <w:r w:rsidR="00C80B10">
        <w:t>anol i sin kvävereningsprocess</w:t>
      </w:r>
      <w:r w:rsidR="00E40AA7">
        <w:t xml:space="preserve"> redan ha ti</w:t>
      </w:r>
      <w:r w:rsidR="008334B5">
        <w:t>llstånd</w:t>
      </w:r>
      <w:r w:rsidR="00C80B10">
        <w:t xml:space="preserve"> om den lagerhållna volymen överstiger 3000 l</w:t>
      </w:r>
      <w:r>
        <w:t>. Verksamheter</w:t>
      </w:r>
      <w:r w:rsidR="00E40AA7">
        <w:t xml:space="preserve"> som redan har tillstånd till hantering av brandfarliga och explosiva varor behöver förnya tillståndet så att det ä</w:t>
      </w:r>
      <w:r w:rsidR="0044218B">
        <w:t>ven omfattar hantering av rågas</w:t>
      </w:r>
      <w:r w:rsidR="00E40AA7">
        <w:t xml:space="preserve">/biogas. </w:t>
      </w:r>
    </w:p>
    <w:p w14:paraId="3D5193B7" w14:textId="77777777" w:rsidR="00583D4C" w:rsidRDefault="00583D4C"/>
    <w:sectPr w:rsidR="00583D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93BA" w14:textId="77777777" w:rsidR="005A2C9B" w:rsidRDefault="005A2C9B" w:rsidP="005A2C9B">
      <w:pPr>
        <w:spacing w:after="0" w:line="240" w:lineRule="auto"/>
      </w:pPr>
      <w:r>
        <w:separator/>
      </w:r>
    </w:p>
  </w:endnote>
  <w:endnote w:type="continuationSeparator" w:id="0">
    <w:p w14:paraId="3D5193BB" w14:textId="77777777" w:rsidR="005A2C9B" w:rsidRDefault="005A2C9B" w:rsidP="005A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193B8" w14:textId="77777777" w:rsidR="005A2C9B" w:rsidRDefault="005A2C9B" w:rsidP="005A2C9B">
      <w:pPr>
        <w:spacing w:after="0" w:line="240" w:lineRule="auto"/>
      </w:pPr>
      <w:r>
        <w:separator/>
      </w:r>
    </w:p>
  </w:footnote>
  <w:footnote w:type="continuationSeparator" w:id="0">
    <w:p w14:paraId="3D5193B9" w14:textId="77777777" w:rsidR="005A2C9B" w:rsidRDefault="005A2C9B" w:rsidP="005A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193BC" w14:textId="568DCBE1" w:rsidR="005A2C9B" w:rsidRDefault="005A2C9B" w:rsidP="00582C37">
    <w:pPr>
      <w:pStyle w:val="Sidhuvud"/>
      <w:tabs>
        <w:tab w:val="clear" w:pos="9072"/>
      </w:tabs>
      <w:rPr>
        <w:noProof/>
        <w:lang w:eastAsia="sv-SE"/>
      </w:rPr>
    </w:pPr>
    <w:r>
      <w:rPr>
        <w:noProof/>
        <w:color w:val="0000FF"/>
        <w:lang w:eastAsia="sv-SE"/>
      </w:rPr>
      <w:drawing>
        <wp:inline distT="0" distB="0" distL="0" distR="0" wp14:anchorId="3D5193BD" wp14:editId="5BBFF318">
          <wp:extent cx="1775638" cy="274988"/>
          <wp:effectExtent l="0" t="0" r="0" b="0"/>
          <wp:docPr id="1" name="Bild 1" descr="Svenskt Vatten">
            <a:hlinkClick xmlns:a="http://schemas.openxmlformats.org/drawingml/2006/main" r:id="rId1" tooltip="log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nskt Vatten">
                    <a:hlinkClick r:id="rId1" tooltip="logo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26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C37">
      <w:rPr>
        <w:noProof/>
        <w:lang w:eastAsia="sv-SE"/>
      </w:rPr>
      <w:t xml:space="preserve">           </w:t>
    </w:r>
    <w:r w:rsidR="00582C37" w:rsidRPr="00582C37">
      <w:rPr>
        <w:noProof/>
        <w:lang w:eastAsia="sv-SE"/>
      </w:rPr>
      <w:drawing>
        <wp:inline distT="0" distB="0" distL="0" distR="0" wp14:anchorId="08DAB9B3" wp14:editId="6B7605C1">
          <wp:extent cx="1690577" cy="232191"/>
          <wp:effectExtent l="0" t="0" r="5080" b="0"/>
          <wp:docPr id="3" name="Bildobjekt 3" descr="C:\Users\annab_000\OneDrive\Dokument\Nitoveskonsulterna\Gas ansökan\log_ligg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b_000\OneDrive\Dokument\Nitoveskonsulterna\Gas ansökan\log_ligg_cmyk.ep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483" cy="240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E6A">
      <w:rPr>
        <w:noProof/>
        <w:lang w:eastAsia="sv-SE"/>
      </w:rPr>
      <w:t xml:space="preserve">       </w:t>
    </w:r>
    <w:r w:rsidR="009F5E6A">
      <w:rPr>
        <w:noProof/>
        <w:lang w:eastAsia="sv-SE"/>
      </w:rPr>
      <w:drawing>
        <wp:inline distT="0" distB="0" distL="0" distR="0" wp14:anchorId="3B6FD464" wp14:editId="4C33C869">
          <wp:extent cx="930136" cy="790932"/>
          <wp:effectExtent l="0" t="0" r="3810" b="0"/>
          <wp:docPr id="2" name="Bild 2" descr="ES_BETA_Logo_RGB_lågupplö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_BETA_Logo_RGB_lågupplös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198" cy="793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906F6" w14:textId="77777777" w:rsidR="00CB22B2" w:rsidRDefault="00CB22B2" w:rsidP="00582C37">
    <w:pPr>
      <w:pStyle w:val="Sidhuvud"/>
      <w:tabs>
        <w:tab w:val="clear" w:pos="9072"/>
      </w:tabs>
      <w:rPr>
        <w:noProof/>
        <w:lang w:eastAsia="sv-SE"/>
      </w:rPr>
    </w:pPr>
  </w:p>
  <w:p w14:paraId="562F44C0" w14:textId="3C9D5205" w:rsidR="00CB22B2" w:rsidRDefault="00CB22B2" w:rsidP="00582C37">
    <w:pPr>
      <w:pStyle w:val="Sidhuvud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3066"/>
    <w:multiLevelType w:val="hybridMultilevel"/>
    <w:tmpl w:val="E80213FE"/>
    <w:lvl w:ilvl="0" w:tplc="970E87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75C7"/>
    <w:multiLevelType w:val="hybridMultilevel"/>
    <w:tmpl w:val="11289758"/>
    <w:lvl w:ilvl="0" w:tplc="970E87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37CD1"/>
    <w:multiLevelType w:val="hybridMultilevel"/>
    <w:tmpl w:val="72D4BCEC"/>
    <w:lvl w:ilvl="0" w:tplc="3F423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4C1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67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E4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E0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03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A3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47C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41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B7456"/>
    <w:multiLevelType w:val="hybridMultilevel"/>
    <w:tmpl w:val="961C4A6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42"/>
    <w:rsid w:val="000156A7"/>
    <w:rsid w:val="000F61BA"/>
    <w:rsid w:val="00181E49"/>
    <w:rsid w:val="0032050E"/>
    <w:rsid w:val="004045BE"/>
    <w:rsid w:val="0044218B"/>
    <w:rsid w:val="00443E76"/>
    <w:rsid w:val="00480D6D"/>
    <w:rsid w:val="00525529"/>
    <w:rsid w:val="00582C37"/>
    <w:rsid w:val="00583D4C"/>
    <w:rsid w:val="005A2C9B"/>
    <w:rsid w:val="005F7742"/>
    <w:rsid w:val="007B6C70"/>
    <w:rsid w:val="008334B5"/>
    <w:rsid w:val="00897BCA"/>
    <w:rsid w:val="008A5739"/>
    <w:rsid w:val="009F5E6A"/>
    <w:rsid w:val="00AD3C07"/>
    <w:rsid w:val="00C80B10"/>
    <w:rsid w:val="00CB22B2"/>
    <w:rsid w:val="00E40AA7"/>
    <w:rsid w:val="00E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519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3D4C"/>
    <w:pPr>
      <w:ind w:left="720"/>
      <w:contextualSpacing/>
    </w:pPr>
  </w:style>
  <w:style w:type="paragraph" w:customStyle="1" w:styleId="Default">
    <w:name w:val="Default"/>
    <w:rsid w:val="00E40A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A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2C9B"/>
  </w:style>
  <w:style w:type="paragraph" w:styleId="Sidfot">
    <w:name w:val="footer"/>
    <w:basedOn w:val="Normal"/>
    <w:link w:val="SidfotChar"/>
    <w:uiPriority w:val="99"/>
    <w:unhideWhenUsed/>
    <w:rsid w:val="005A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2C9B"/>
  </w:style>
  <w:style w:type="paragraph" w:styleId="Ballongtext">
    <w:name w:val="Balloon Text"/>
    <w:basedOn w:val="Normal"/>
    <w:link w:val="BallongtextChar"/>
    <w:uiPriority w:val="99"/>
    <w:semiHidden/>
    <w:unhideWhenUsed/>
    <w:rsid w:val="005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3D4C"/>
    <w:pPr>
      <w:ind w:left="720"/>
      <w:contextualSpacing/>
    </w:pPr>
  </w:style>
  <w:style w:type="paragraph" w:customStyle="1" w:styleId="Default">
    <w:name w:val="Default"/>
    <w:rsid w:val="00E40A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A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2C9B"/>
  </w:style>
  <w:style w:type="paragraph" w:styleId="Sidfot">
    <w:name w:val="footer"/>
    <w:basedOn w:val="Normal"/>
    <w:link w:val="SidfotChar"/>
    <w:uiPriority w:val="99"/>
    <w:unhideWhenUsed/>
    <w:rsid w:val="005A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2C9B"/>
  </w:style>
  <w:style w:type="paragraph" w:styleId="Ballongtext">
    <w:name w:val="Balloon Text"/>
    <w:basedOn w:val="Normal"/>
    <w:link w:val="BallongtextChar"/>
    <w:uiPriority w:val="99"/>
    <w:semiHidden/>
    <w:unhideWhenUsed/>
    <w:rsid w:val="005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http://www.svensktvatten.se/sv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Vatten AB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Nitoves AB</dc:creator>
  <cp:lastModifiedBy>Peter Sörngård</cp:lastModifiedBy>
  <cp:revision>2</cp:revision>
  <dcterms:created xsi:type="dcterms:W3CDTF">2016-03-03T13:11:00Z</dcterms:created>
  <dcterms:modified xsi:type="dcterms:W3CDTF">2016-03-03T13:11:00Z</dcterms:modified>
</cp:coreProperties>
</file>